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914" w:rsidRDefault="00576914" w:rsidP="00576914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576914" w:rsidRDefault="00576914" w:rsidP="00576914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/PREFEITURA UNIVERSITÁRIA-PU</w:t>
      </w:r>
    </w:p>
    <w:p w:rsidR="00576914" w:rsidRPr="008E7428" w:rsidRDefault="00576914" w:rsidP="00576914">
      <w:pPr>
        <w:ind w:left="1448" w:right="1462"/>
        <w:jc w:val="center"/>
        <w:rPr>
          <w:rFonts w:cs="Times New Roman"/>
          <w:b/>
        </w:rPr>
      </w:pPr>
    </w:p>
    <w:p w:rsidR="00576914" w:rsidRDefault="00576914" w:rsidP="00576914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7E928" wp14:editId="46B884CA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76914" w:rsidRDefault="00576914" w:rsidP="00576914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F7E928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576914" w:rsidRDefault="00576914" w:rsidP="00576914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76914" w:rsidRDefault="00576914" w:rsidP="00576914">
      <w:pPr>
        <w:pStyle w:val="Textbody"/>
        <w:spacing w:before="1" w:after="0"/>
        <w:rPr>
          <w:b/>
          <w:sz w:val="19"/>
        </w:rPr>
      </w:pPr>
    </w:p>
    <w:p w:rsidR="00576914" w:rsidRDefault="00576914" w:rsidP="00576914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bookmarkStart w:id="0" w:name="_GoBack"/>
      <w:r w:rsidRPr="00576914">
        <w:rPr>
          <w:b/>
        </w:rPr>
        <w:t>CONTRATO 08.2018 – CONTRATO EMERGENCIAL</w:t>
      </w:r>
    </w:p>
    <w:bookmarkEnd w:id="0"/>
    <w:p w:rsidR="00576914" w:rsidRPr="008418D3" w:rsidRDefault="00576914" w:rsidP="00576914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576914" w:rsidRDefault="00576914" w:rsidP="00576914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576914" w:rsidRDefault="00576914" w:rsidP="00576914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576914" w:rsidRDefault="00576914" w:rsidP="00576914">
      <w:pPr>
        <w:pStyle w:val="Textbody"/>
        <w:spacing w:before="69" w:after="0" w:line="240" w:lineRule="auto"/>
        <w:ind w:left="177" w:right="-63"/>
      </w:pPr>
    </w:p>
    <w:p w:rsidR="00576914" w:rsidRPr="00B543BB" w:rsidRDefault="00576914" w:rsidP="00576914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576914" w:rsidRDefault="00576914" w:rsidP="00576914">
      <w:pPr>
        <w:pStyle w:val="Textbody"/>
        <w:spacing w:before="69" w:after="0" w:line="240" w:lineRule="auto"/>
        <w:ind w:left="177" w:right="-63"/>
      </w:pPr>
    </w:p>
    <w:p w:rsidR="00576914" w:rsidRDefault="00576914" w:rsidP="00576914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576914" w:rsidTr="004544D4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576914" w:rsidRPr="006D5BDF" w:rsidRDefault="00576914" w:rsidP="004544D4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576914">
              <w:rPr>
                <w:b/>
                <w:color w:val="FFFFFF" w:themeColor="background1"/>
              </w:rPr>
              <w:t>Gestão de prazo contratual – 180 dias – limpeza e conservação campus II e III.</w:t>
            </w:r>
          </w:p>
        </w:tc>
      </w:tr>
      <w:tr w:rsidR="00576914" w:rsidTr="004544D4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</w:t>
            </w:r>
            <w:r>
              <w:t>Muito Alta: 5</w:t>
            </w:r>
            <w:r>
              <w:tab/>
            </w:r>
          </w:p>
        </w:tc>
      </w:tr>
      <w:tr w:rsidR="00576914" w:rsidTr="004544D4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576914" w:rsidTr="004544D4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576914" w:rsidTr="004544D4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>Potencial interrupção do serviço.</w:t>
            </w:r>
          </w:p>
        </w:tc>
      </w:tr>
      <w:tr w:rsidR="00576914" w:rsidTr="004544D4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576914" w:rsidTr="004544D4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>Mapeamento da licitação em curso; Reunião de planejamento para desencadear etapas processuais em paralelo; Capacitação de RH.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</w:p>
        </w:tc>
      </w:tr>
      <w:tr w:rsidR="00576914" w:rsidTr="004544D4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576914" w:rsidTr="004544D4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>Mutirão de planejamento de etapas.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</w:p>
        </w:tc>
      </w:tr>
    </w:tbl>
    <w:p w:rsidR="00576914" w:rsidRDefault="00576914" w:rsidP="00576914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576914" w:rsidTr="004544D4">
        <w:trPr>
          <w:trHeight w:hRule="exact" w:val="584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F71DCE">
              <w:rPr>
                <w:b/>
                <w:color w:val="FFFFFF"/>
              </w:rPr>
              <w:t xml:space="preserve">Logística - </w:t>
            </w:r>
            <w:r w:rsidRPr="00576914">
              <w:rPr>
                <w:b/>
                <w:color w:val="FFFFFF"/>
              </w:rPr>
              <w:t>Dimensionamento de RH.</w:t>
            </w:r>
          </w:p>
        </w:tc>
      </w:tr>
      <w:tr w:rsidR="00576914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576914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57691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576914" w:rsidTr="004544D4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>Demanda suprimida; Perda de prazos.</w:t>
            </w:r>
          </w:p>
        </w:tc>
      </w:tr>
      <w:tr w:rsidR="0057691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576914" w:rsidTr="00576914">
        <w:trPr>
          <w:trHeight w:hRule="exact" w:val="1205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 xml:space="preserve">Remanejamento interno de RH; Priorização de </w:t>
            </w:r>
            <w:proofErr w:type="gramStart"/>
            <w:r w:rsidRPr="00576914">
              <w:t>macro processos</w:t>
            </w:r>
            <w:proofErr w:type="gramEnd"/>
            <w:r w:rsidRPr="00576914">
              <w:t>; Identificação de prioridades; Identificação de número de licitações realizadas por ano por setor.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</w:p>
        </w:tc>
      </w:tr>
      <w:tr w:rsidR="00576914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576914" w:rsidTr="004544D4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576914" w:rsidRDefault="00576914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Pr="00576914" w:rsidRDefault="00576914" w:rsidP="004544D4">
            <w:pPr>
              <w:pStyle w:val="Standard"/>
            </w:pPr>
            <w:r w:rsidRPr="00576914">
              <w:t>Buscar adesões de pregões.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</w:p>
        </w:tc>
      </w:tr>
    </w:tbl>
    <w:p w:rsidR="00576914" w:rsidRDefault="00576914" w:rsidP="00576914">
      <w:pPr>
        <w:pStyle w:val="Textbody"/>
        <w:rPr>
          <w:sz w:val="20"/>
        </w:rPr>
      </w:pPr>
    </w:p>
    <w:p w:rsidR="00576914" w:rsidRDefault="00576914" w:rsidP="00576914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576914" w:rsidTr="00576914">
        <w:trPr>
          <w:trHeight w:hRule="exact" w:val="68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576914">
              <w:rPr>
                <w:b/>
                <w:color w:val="FFFFFF"/>
              </w:rPr>
              <w:t xml:space="preserve">Logística - Divisão geográfica – CCA CCHSA – Diretores de centro distintos com posicionamento </w:t>
            </w:r>
            <w:proofErr w:type="spellStart"/>
            <w:proofErr w:type="gramStart"/>
            <w:r w:rsidRPr="00576914">
              <w:rPr>
                <w:b/>
                <w:color w:val="FFFFFF"/>
              </w:rPr>
              <w:t>distinto;conflito</w:t>
            </w:r>
            <w:proofErr w:type="spellEnd"/>
            <w:proofErr w:type="gramEnd"/>
            <w:r w:rsidRPr="00576914">
              <w:rPr>
                <w:b/>
                <w:color w:val="FFFFFF"/>
              </w:rPr>
              <w:t xml:space="preserve"> de interesses</w:t>
            </w:r>
          </w:p>
        </w:tc>
      </w:tr>
      <w:tr w:rsidR="00576914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Média: 3</w:t>
            </w:r>
          </w:p>
        </w:tc>
      </w:tr>
      <w:tr w:rsidR="00576914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Baixo: 2</w:t>
            </w:r>
          </w:p>
        </w:tc>
      </w:tr>
      <w:tr w:rsidR="0057691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576914" w:rsidTr="00576914">
        <w:trPr>
          <w:trHeight w:hRule="exact" w:val="681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>Demora no atendimento da</w:t>
            </w:r>
            <w:r>
              <w:t>s</w:t>
            </w:r>
            <w:r w:rsidRPr="00576914">
              <w:t xml:space="preserve"> demandas emergenciais; Maior demanda por combustível e veículo; </w:t>
            </w:r>
            <w:proofErr w:type="gramStart"/>
            <w:r w:rsidRPr="00576914">
              <w:t>Potencial</w:t>
            </w:r>
            <w:proofErr w:type="gramEnd"/>
            <w:r w:rsidRPr="00576914">
              <w:t xml:space="preserve"> risco residual atrelado a outro contrato.</w:t>
            </w:r>
          </w:p>
        </w:tc>
      </w:tr>
      <w:tr w:rsidR="0057691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576914" w:rsidTr="00576914">
        <w:trPr>
          <w:trHeight w:hRule="exact" w:val="596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>Cronograma de execução dos serviços; Equipe lotada onde há maior demanda – Rio tinto.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</w:p>
        </w:tc>
      </w:tr>
      <w:tr w:rsidR="00576914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576914" w:rsidTr="004544D4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576914" w:rsidRDefault="00576914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>Definição de prioridades.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</w:p>
        </w:tc>
      </w:tr>
    </w:tbl>
    <w:p w:rsidR="00576914" w:rsidRDefault="00576914" w:rsidP="00576914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576914" w:rsidTr="00576914">
        <w:trPr>
          <w:trHeight w:hRule="exact" w:val="568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>RISCO 04</w:t>
            </w:r>
            <w:r>
              <w:rPr>
                <w:b/>
                <w:color w:val="FFFFFF"/>
              </w:rPr>
              <w:t xml:space="preserve"> - </w:t>
            </w:r>
            <w:r w:rsidRPr="00576914">
              <w:rPr>
                <w:b/>
                <w:color w:val="FFFFFF"/>
              </w:rPr>
              <w:t>Sobrecarga de atribuições quanto a fiscalização – Risco RH</w:t>
            </w:r>
          </w:p>
        </w:tc>
      </w:tr>
      <w:tr w:rsidR="00576914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576914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Baixo: 2</w:t>
            </w:r>
          </w:p>
        </w:tc>
      </w:tr>
      <w:tr w:rsidR="0057691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576914" w:rsidTr="00576914">
        <w:trPr>
          <w:trHeight w:hRule="exact" w:val="96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 xml:space="preserve">Demora no atendimento de demandas emergenciais; Maior demanda por combustível e veículo; </w:t>
            </w:r>
            <w:proofErr w:type="gramStart"/>
            <w:r w:rsidRPr="00576914">
              <w:t>Potencial</w:t>
            </w:r>
            <w:proofErr w:type="gramEnd"/>
            <w:r w:rsidRPr="00576914">
              <w:t xml:space="preserve"> risco residual atrelado a outro contrato; Demanda suprimida; Perda de prazos</w:t>
            </w:r>
            <w:r>
              <w:t>.</w:t>
            </w:r>
          </w:p>
        </w:tc>
      </w:tr>
      <w:tr w:rsidR="0057691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576914" w:rsidTr="004544D4">
        <w:trPr>
          <w:trHeight w:hRule="exact" w:val="596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>
              <w:t>D</w:t>
            </w:r>
            <w:r w:rsidRPr="00576914">
              <w:t>esignar RH tec. adm.; Remanejamento interno de RH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</w:p>
        </w:tc>
      </w:tr>
      <w:tr w:rsidR="00576914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576914" w:rsidTr="004544D4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576914" w:rsidRDefault="00576914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  <w:r w:rsidRPr="00576914">
              <w:t>Priorização de demandas.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Standard"/>
            </w:pPr>
          </w:p>
        </w:tc>
      </w:tr>
    </w:tbl>
    <w:p w:rsidR="00576914" w:rsidRDefault="00576914" w:rsidP="00576914">
      <w:pPr>
        <w:pStyle w:val="Textbody"/>
        <w:spacing w:before="5" w:after="0"/>
        <w:rPr>
          <w:sz w:val="14"/>
        </w:rPr>
      </w:pPr>
    </w:p>
    <w:p w:rsidR="00576914" w:rsidRDefault="00576914" w:rsidP="00576914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576914" w:rsidTr="004544D4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576914" w:rsidTr="004544D4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576914" w:rsidRDefault="00576914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576914" w:rsidRDefault="00576914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576914" w:rsidRDefault="00576914" w:rsidP="004544D4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CB0A62" wp14:editId="1B5A12A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7DC60A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576914" w:rsidRDefault="00576914" w:rsidP="004544D4">
            <w:pPr>
              <w:pStyle w:val="TableParagraph"/>
              <w:spacing w:line="20" w:lineRule="exact"/>
              <w:ind w:left="2685"/>
              <w:jc w:val="center"/>
            </w:pPr>
          </w:p>
          <w:p w:rsidR="00576914" w:rsidRDefault="00576914" w:rsidP="004544D4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2460DE" w:rsidRDefault="00576914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576914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914"/>
    <w:rsid w:val="00576914"/>
    <w:rsid w:val="00993CCF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D5785-5E3C-406C-9B5C-3B7D539E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9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769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76914"/>
    <w:pPr>
      <w:spacing w:after="140" w:line="288" w:lineRule="auto"/>
    </w:pPr>
  </w:style>
  <w:style w:type="paragraph" w:styleId="Rodap">
    <w:name w:val="footer"/>
    <w:basedOn w:val="Standard"/>
    <w:link w:val="RodapChar"/>
    <w:rsid w:val="00576914"/>
  </w:style>
  <w:style w:type="character" w:customStyle="1" w:styleId="RodapChar">
    <w:name w:val="Rodapé Char"/>
    <w:basedOn w:val="Fontepargpadro"/>
    <w:link w:val="Rodap"/>
    <w:rsid w:val="00576914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576914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576914"/>
  </w:style>
  <w:style w:type="paragraph" w:styleId="Corpodetexto">
    <w:name w:val="Body Text"/>
    <w:basedOn w:val="Normal"/>
    <w:link w:val="CorpodetextoChar"/>
    <w:rsid w:val="00576914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576914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2019-02-25T13:46:00Z</dcterms:created>
  <dcterms:modified xsi:type="dcterms:W3CDTF">2019-02-25T13:56:00Z</dcterms:modified>
</cp:coreProperties>
</file>